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Euthymic Psychiatric Consultation</w:t>
      </w:r>
    </w:p>
    <w:p>
      <w:pPr>
        <w:pStyle w:val="Heading1"/>
      </w:pPr>
      <w:r>
        <w:t>Turn-Key Practice Launch Package</w:t>
      </w:r>
    </w:p>
    <w:p>
      <w:r>
        <w:t>Helping NPs, PAs, and Psychiatrists Launch Independent Practices with Confidence</w:t>
      </w:r>
    </w:p>
    <w:p>
      <w:r>
        <w:t>🌐 euthymicpsychiatricconsultation.com</w:t>
      </w:r>
    </w:p>
    <w:p>
      <w:r>
        <w:t>✉️ euthymicmentalhealth@gmail.com</w:t>
      </w:r>
    </w:p>
    <w:p>
      <w:pPr>
        <w:pStyle w:val="Heading1"/>
      </w:pPr>
      <w:r>
        <w:t>The Challenge</w:t>
      </w:r>
    </w:p>
    <w:p>
      <w:r>
        <w:t>Launching a psychiatric practice is complex. Legal structures, credentialing, billing, EHR setup, branding, and clinical workflows create overwhelming barriers that distract from patient care.</w:t>
      </w:r>
    </w:p>
    <w:p>
      <w:pPr>
        <w:pStyle w:val="Heading1"/>
      </w:pPr>
      <w:r>
        <w:t>Our Solution</w:t>
      </w:r>
    </w:p>
    <w:p>
      <w:r>
        <w:t>Euthymic offers a complete turn-key package designed specifically for NPs, PAs, and early-career psychiatrists. We streamline setup and provide ready-to-use tools and mentorship to ensure success.</w:t>
      </w:r>
    </w:p>
    <w:p>
      <w:pPr>
        <w:pStyle w:val="Heading1"/>
      </w:pPr>
      <w:r>
        <w:t>What’s Included</w:t>
      </w:r>
    </w:p>
    <w:p>
      <w:r>
        <w:t>Business &amp; Legal Setup – LLC/INC, EIN, NPI, malpractice insurance guidance, 1099 vs W2 structures</w:t>
      </w:r>
    </w:p>
    <w:p>
      <w:r>
        <w:t>Credentialing &amp; Billing – Insurance paneling, billing vendor referral, supervision agreements</w:t>
      </w:r>
    </w:p>
    <w:p>
      <w:r>
        <w:t>EHR &amp; Tech Stack – Affordable platforms (IntakeQ, SimplePractice), RingCentral/Doximity setup</w:t>
      </w:r>
    </w:p>
    <w:p>
      <w:r>
        <w:t>Website &amp; Branding – Domain, logo, WordPress/Squarespace setup</w:t>
      </w:r>
    </w:p>
    <w:p>
      <w:r>
        <w:t>Clinical Toolkit – SmartPhrase libraries, cyber-prescriptions, integrative protocols</w:t>
      </w:r>
    </w:p>
    <w:p>
      <w:r>
        <w:t>Mentorship Add-On – Supervision calls, WhatsApp support, group workshops</w:t>
      </w:r>
    </w:p>
    <w:p>
      <w:pPr>
        <w:pStyle w:val="Heading1"/>
      </w:pPr>
      <w:r>
        <w:t>Risk Management &amp; Compliance Guidance</w:t>
      </w:r>
    </w:p>
    <w:p>
      <w:r>
        <w:t>Euthymic integrates risk management strategies throughout your practice setup and ongoing operations. We help providers avoid common pitfalls that can lead to audits or liability exposure. Our risk management support includes:</w:t>
        <w:br/>
        <w:t>- Documentation standards for psychiatric notes to withstand legal scrutiny</w:t>
        <w:br/>
        <w:t>- Best practices for prescribing controlled substances and off-label use</w:t>
        <w:br/>
        <w:t>- Guidance on HIPAA compliance, data security, and patient privacy</w:t>
        <w:br/>
        <w:t>- Strategies to mitigate malpractice risk through informed consent and supervision agreements</w:t>
        <w:br/>
        <w:t>- Light CPA and business compliance support (EIN, state registration, tax structure)</w:t>
        <w:br/>
        <w:t>- Risk audits and ongoing monitoring to ensure long-term compliance and safety</w:t>
      </w:r>
    </w:p>
    <w:p>
      <w:pPr>
        <w:pStyle w:val="Heading1"/>
      </w:pPr>
      <w:r>
        <w:t>Why Choose Euthymic</w:t>
      </w:r>
    </w:p>
    <w:p>
      <w:r>
        <w:t>✔️ Launch faster with confidence</w:t>
      </w:r>
    </w:p>
    <w:p>
      <w:r>
        <w:t>✔️ Comprehensive guidance from legal to clinical</w:t>
      </w:r>
    </w:p>
    <w:p>
      <w:r>
        <w:t>✔️ Psychiatry-specific expertise</w:t>
      </w:r>
    </w:p>
    <w:p>
      <w:r>
        <w:t>✔️ Scalable support for long-term success</w:t>
      </w:r>
    </w:p>
    <w:p>
      <w:pPr>
        <w:pStyle w:val="Heading1"/>
      </w:pPr>
      <w:r>
        <w:t>Start Your Practice with Confidence</w:t>
      </w:r>
    </w:p>
    <w:p>
      <w:r>
        <w:t>Contact us today to launch your independent psychiatry practice.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